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97A43" w14:textId="06104297" w:rsidR="00A917FD" w:rsidRDefault="00857C5F" w:rsidP="00857C5F">
      <w:pPr>
        <w:pStyle w:val="NormalWeb"/>
        <w:shd w:val="clear" w:color="auto" w:fill="FFFFFF"/>
        <w:spacing w:before="0" w:beforeAutospacing="0" w:after="80" w:afterAutospacing="0"/>
        <w:rPr>
          <w:rFonts w:ascii="Calibri" w:hAnsi="Calibri" w:cs="Calibri"/>
          <w:color w:val="242424"/>
          <w:sz w:val="22"/>
          <w:szCs w:val="22"/>
        </w:rPr>
      </w:pPr>
      <w:r>
        <w:rPr>
          <w:rFonts w:ascii="Calibri" w:hAnsi="Calibri" w:cs="Calibri"/>
          <w:color w:val="242424"/>
          <w:sz w:val="22"/>
          <w:szCs w:val="22"/>
        </w:rPr>
        <w:t xml:space="preserve">Doctora </w:t>
      </w:r>
      <w:r w:rsidR="00430936">
        <w:rPr>
          <w:rFonts w:ascii="Calibri" w:hAnsi="Calibri" w:cs="Calibri"/>
          <w:color w:val="242424"/>
          <w:sz w:val="22"/>
          <w:szCs w:val="22"/>
        </w:rPr>
        <w:t>Alba Sofia</w:t>
      </w:r>
      <w:r>
        <w:rPr>
          <w:rFonts w:ascii="Calibri" w:hAnsi="Calibri" w:cs="Calibri"/>
          <w:color w:val="242424"/>
          <w:sz w:val="22"/>
          <w:szCs w:val="22"/>
        </w:rPr>
        <w:t xml:space="preserve"> </w:t>
      </w:r>
      <w:r w:rsidR="005A6720">
        <w:rPr>
          <w:rFonts w:ascii="Calibri" w:hAnsi="Calibri" w:cs="Calibri"/>
          <w:color w:val="242424"/>
          <w:sz w:val="22"/>
          <w:szCs w:val="22"/>
        </w:rPr>
        <w:t xml:space="preserve">Monroy </w:t>
      </w:r>
      <w:r>
        <w:rPr>
          <w:rFonts w:ascii="Calibri" w:hAnsi="Calibri" w:cs="Calibri"/>
          <w:color w:val="242424"/>
          <w:sz w:val="22"/>
          <w:szCs w:val="22"/>
        </w:rPr>
        <w:t>Reciba un cordial saludo,</w:t>
      </w:r>
      <w:r>
        <w:rPr>
          <w:rFonts w:ascii="Calibri" w:hAnsi="Calibri" w:cs="Calibri"/>
          <w:color w:val="242424"/>
          <w:sz w:val="22"/>
          <w:szCs w:val="22"/>
        </w:rPr>
        <w:br/>
      </w:r>
      <w:r>
        <w:rPr>
          <w:rFonts w:ascii="Calibri" w:hAnsi="Calibri" w:cs="Calibri"/>
          <w:color w:val="242424"/>
          <w:sz w:val="22"/>
          <w:szCs w:val="22"/>
        </w:rPr>
        <w:br/>
        <w:t>Con el propósito de garantizar la continuidad, pertinencia y calidad del servicio de formación profesional integral en el Centro de Tecnologías Agroindustriales de la Regional Valle, se hace indispensable la asignación de recursos adicionales que permitan asegurar el desarrollo, ejecución y culminación de los procesos formativos programados para la presente vigencia, conforme al calendario académico institucional y a las crecientes necesidades del sector productivo y social de la región.</w:t>
      </w:r>
      <w:r>
        <w:rPr>
          <w:rFonts w:ascii="Calibri" w:hAnsi="Calibri" w:cs="Calibri"/>
          <w:color w:val="242424"/>
          <w:sz w:val="22"/>
          <w:szCs w:val="22"/>
        </w:rPr>
        <w:br/>
        <w:t>Actualmente, el Centro de Formación viene registrando un incremento significativo en la demanda de programas y servicios de formación, tanto en la oferta regular como en las solicitudes realizadas por entidades del sector externo, entre ellas alcaldías, empresas, instituciones educativas, organizaciones sociales y demás actores del territorio, quienes requieren permanentemente el acompañamiento y la atención institucional en procesos de cualificación y fortalecimiento del talento humano. Esta situación ha superado la capacidad instalada de instructores disponibles, generando la necesidad urgente de fortalecer el equipo humano para garantizar una respuesta oportuna y eficiente acorde con la misión institucional.</w:t>
      </w:r>
    </w:p>
    <w:p w14:paraId="1540B99F" w14:textId="77777777" w:rsidR="00A917FD" w:rsidRDefault="00857C5F" w:rsidP="00857C5F">
      <w:pPr>
        <w:pStyle w:val="NormalWeb"/>
        <w:shd w:val="clear" w:color="auto" w:fill="FFFFFF"/>
        <w:spacing w:before="0" w:beforeAutospacing="0" w:after="80" w:afterAutospacing="0"/>
        <w:rPr>
          <w:rFonts w:ascii="Calibri" w:hAnsi="Calibri" w:cs="Calibri"/>
          <w:color w:val="242424"/>
          <w:sz w:val="22"/>
          <w:szCs w:val="22"/>
        </w:rPr>
      </w:pPr>
      <w:r>
        <w:rPr>
          <w:rFonts w:ascii="Calibri" w:hAnsi="Calibri" w:cs="Calibri"/>
          <w:color w:val="242424"/>
          <w:sz w:val="22"/>
          <w:szCs w:val="22"/>
        </w:rPr>
        <w:t>En este sentido, para el área de TIC se requieren recursos para la contratación de siete (07) instructores por un plazo de seis (06) meses, por valor de $198.974.874, con el fin de atender 17 fichas de formación con un total de 510 aprendices, con el fin de responder y atender las necesidades antes expuestas en pro del cumplimiento fundamental de la misionalidad institucional.</w:t>
      </w:r>
      <w:r>
        <w:rPr>
          <w:rFonts w:ascii="Calibri" w:hAnsi="Calibri" w:cs="Calibri"/>
          <w:color w:val="242424"/>
          <w:sz w:val="22"/>
          <w:szCs w:val="22"/>
        </w:rPr>
        <w:br/>
        <w:t>Por otra parte, para el área de Comercio y Servicios se requieren cinco (05) instructores, por valor de $142.124.910, como apoyo para atender 23 fichas de formación presencial regular con un total de 690 aprendices, así como los requerimientos de oferta cerrada recibidos por diferentes empresas de la región, las cuales demandan procesos de formación pertinentes y oportunos que contribuyan al fortalecimiento de sus capacidades productivas y del empleo regional.</w:t>
      </w:r>
      <w:r>
        <w:rPr>
          <w:rFonts w:ascii="Calibri" w:hAnsi="Calibri" w:cs="Calibri"/>
          <w:color w:val="242424"/>
          <w:sz w:val="22"/>
          <w:szCs w:val="22"/>
        </w:rPr>
        <w:br/>
        <w:t xml:space="preserve">En cuanto a formación complementaria, se hace necesaria la contratación de instructores para garantizar el cumplimiento de las metas establecidas para el Centro de Formación. Teniendo en cuenta que las metas de formación complementaria presencial (resto de formación complementaria) corresponden a 12.150 cupos y las de bilingüismo presencial a 540 cupos, se requiere </w:t>
      </w:r>
      <w:proofErr w:type="spellStart"/>
      <w:r>
        <w:rPr>
          <w:rFonts w:ascii="Calibri" w:hAnsi="Calibri" w:cs="Calibri"/>
          <w:color w:val="242424"/>
          <w:sz w:val="22"/>
          <w:szCs w:val="22"/>
        </w:rPr>
        <w:t>aperturar</w:t>
      </w:r>
      <w:proofErr w:type="spellEnd"/>
      <w:r>
        <w:rPr>
          <w:rFonts w:ascii="Calibri" w:hAnsi="Calibri" w:cs="Calibri"/>
          <w:color w:val="242424"/>
          <w:sz w:val="22"/>
          <w:szCs w:val="22"/>
        </w:rPr>
        <w:t xml:space="preserve"> 423 cursos complementarios de 48 horas.</w:t>
      </w:r>
      <w:r>
        <w:rPr>
          <w:rFonts w:ascii="Calibri" w:hAnsi="Calibri" w:cs="Calibri"/>
          <w:color w:val="242424"/>
          <w:sz w:val="22"/>
          <w:szCs w:val="22"/>
        </w:rPr>
        <w:br/>
        <w:t xml:space="preserve">No obstante, a la fecha y debido a las necesidades del servicio, la demanda del entorno y el área de influencia del Centro, se han </w:t>
      </w:r>
      <w:proofErr w:type="spellStart"/>
      <w:r>
        <w:rPr>
          <w:rFonts w:ascii="Calibri" w:hAnsi="Calibri" w:cs="Calibri"/>
          <w:color w:val="242424"/>
          <w:sz w:val="22"/>
          <w:szCs w:val="22"/>
        </w:rPr>
        <w:t>aperturado</w:t>
      </w:r>
      <w:proofErr w:type="spellEnd"/>
      <w:r>
        <w:rPr>
          <w:rFonts w:ascii="Calibri" w:hAnsi="Calibri" w:cs="Calibri"/>
          <w:color w:val="242424"/>
          <w:sz w:val="22"/>
          <w:szCs w:val="22"/>
        </w:rPr>
        <w:t xml:space="preserve"> 74 fichas con cursos superiores a 48 horas, situación que impacta directamente la capacidad operativa y dificulta el cumplimiento de las metas establecidas para la vigencia. El recurso solicitado para atender las necesidades de formación complementaria asciende a ocho (08) contratos por seis (06) meses de 160 horas, por un valor total de $227.399.856.</w:t>
      </w:r>
      <w:r>
        <w:rPr>
          <w:rFonts w:ascii="Calibri" w:hAnsi="Calibri" w:cs="Calibri"/>
          <w:color w:val="242424"/>
          <w:sz w:val="22"/>
          <w:szCs w:val="22"/>
        </w:rPr>
        <w:br/>
        <w:t>De igual forma, los cursos proyectados para grupos de 30 aprendices han presentado afectaciones, dado que las empresas, organizaciones, entidades, comunidades y demás grupos de interés, en algunas fichas, han matriculado un número inferior de participantes, argumentando que únicamente cuentan con esa cantidad de personas disponibles para el proceso formativo. Sin embargo, estas solicitudes corresponden a necesidades reales del territorio y del sector productivo, las cuales el SENA, en cumplimiento de su función social y misional, debe atender de manera prioritaria.</w:t>
      </w:r>
      <w:r>
        <w:rPr>
          <w:rFonts w:ascii="Calibri" w:hAnsi="Calibri" w:cs="Calibri"/>
          <w:color w:val="242424"/>
          <w:sz w:val="22"/>
          <w:szCs w:val="22"/>
        </w:rPr>
        <w:br/>
      </w:r>
    </w:p>
    <w:p w14:paraId="48ECAFBF" w14:textId="7420CA19" w:rsidR="00B9246A" w:rsidRDefault="00717BFB" w:rsidP="00857C5F">
      <w:pPr>
        <w:pStyle w:val="NormalWeb"/>
        <w:shd w:val="clear" w:color="auto" w:fill="FFFFFF"/>
        <w:spacing w:before="0" w:beforeAutospacing="0" w:after="80" w:afterAutospacing="0"/>
        <w:rPr>
          <w:rFonts w:ascii="Calibri" w:hAnsi="Calibri" w:cs="Calibri"/>
          <w:color w:val="242424"/>
          <w:sz w:val="22"/>
          <w:szCs w:val="22"/>
        </w:rPr>
      </w:pPr>
      <w:r w:rsidRPr="00717BFB">
        <w:rPr>
          <w:rFonts w:ascii="Calibri" w:hAnsi="Calibri" w:cs="Calibri"/>
          <w:color w:val="242424"/>
          <w:sz w:val="22"/>
          <w:szCs w:val="22"/>
        </w:rPr>
        <w:t xml:space="preserve">El sustento técnico se soporta desde el centro de formación con la apreciación de la ejecución de las metas, teniendo en cuenta la proyección de ejecución de la trimestralización, cómo se puede </w:t>
      </w:r>
      <w:r w:rsidRPr="00717BFB">
        <w:rPr>
          <w:rFonts w:ascii="Calibri" w:hAnsi="Calibri" w:cs="Calibri"/>
          <w:color w:val="242424"/>
          <w:sz w:val="22"/>
          <w:szCs w:val="22"/>
        </w:rPr>
        <w:lastRenderedPageBreak/>
        <w:t xml:space="preserve">observar en el trimestre uno y aportas de cerrar el trimestre dos se ha venido desarrollando o visualizando sobre ejecución en los programas de formación regular. Esto determina que sea requerido de más instructores para poder atender estas necesidades de formación. En la proyección del trimestre 2 se observa que en total se han atendido 18 fichas adicionales, lo cual demuestra la </w:t>
      </w:r>
      <w:r w:rsidRPr="00717BFB">
        <w:rPr>
          <w:rFonts w:ascii="Calibri" w:hAnsi="Calibri" w:cs="Calibri"/>
          <w:color w:val="242424"/>
          <w:sz w:val="22"/>
          <w:szCs w:val="22"/>
        </w:rPr>
        <w:t>sobre ejecución</w:t>
      </w:r>
      <w:r w:rsidRPr="00717BFB">
        <w:rPr>
          <w:rFonts w:ascii="Calibri" w:hAnsi="Calibri" w:cs="Calibri"/>
          <w:color w:val="242424"/>
          <w:sz w:val="22"/>
          <w:szCs w:val="22"/>
        </w:rPr>
        <w:t xml:space="preserve"> por </w:t>
      </w:r>
      <w:r w:rsidRPr="00717BFB">
        <w:rPr>
          <w:rFonts w:ascii="Calibri" w:hAnsi="Calibri" w:cs="Calibri"/>
          <w:color w:val="242424"/>
          <w:sz w:val="22"/>
          <w:szCs w:val="22"/>
        </w:rPr>
        <w:t>atención</w:t>
      </w:r>
      <w:r w:rsidRPr="00717BFB">
        <w:rPr>
          <w:rFonts w:ascii="Calibri" w:hAnsi="Calibri" w:cs="Calibri"/>
          <w:color w:val="242424"/>
          <w:sz w:val="22"/>
          <w:szCs w:val="22"/>
        </w:rPr>
        <w:t xml:space="preserve"> a la demanda social y empresarial en la zona de influencia. Es</w:t>
      </w:r>
      <w:r>
        <w:rPr>
          <w:rFonts w:ascii="Calibri" w:hAnsi="Calibri" w:cs="Calibri"/>
          <w:color w:val="242424"/>
          <w:sz w:val="22"/>
          <w:szCs w:val="22"/>
        </w:rPr>
        <w:t>t</w:t>
      </w:r>
      <w:r w:rsidRPr="00717BFB">
        <w:rPr>
          <w:rFonts w:ascii="Calibri" w:hAnsi="Calibri" w:cs="Calibri"/>
          <w:color w:val="242424"/>
          <w:sz w:val="22"/>
          <w:szCs w:val="22"/>
        </w:rPr>
        <w:t>as sobre</w:t>
      </w:r>
      <w:r>
        <w:rPr>
          <w:rFonts w:ascii="Calibri" w:hAnsi="Calibri" w:cs="Calibri"/>
          <w:color w:val="242424"/>
          <w:sz w:val="22"/>
          <w:szCs w:val="22"/>
        </w:rPr>
        <w:t xml:space="preserve"> </w:t>
      </w:r>
      <w:r w:rsidRPr="00717BFB">
        <w:rPr>
          <w:rFonts w:ascii="Calibri" w:hAnsi="Calibri" w:cs="Calibri"/>
          <w:color w:val="242424"/>
          <w:sz w:val="22"/>
          <w:szCs w:val="22"/>
        </w:rPr>
        <w:t>ejecuciones</w:t>
      </w:r>
      <w:r w:rsidRPr="00717BFB">
        <w:rPr>
          <w:rFonts w:ascii="Calibri" w:hAnsi="Calibri" w:cs="Calibri"/>
          <w:color w:val="242424"/>
          <w:sz w:val="22"/>
          <w:szCs w:val="22"/>
        </w:rPr>
        <w:t xml:space="preserve"> se han llevado a cabo con </w:t>
      </w:r>
      <w:r w:rsidRPr="00717BFB">
        <w:rPr>
          <w:rFonts w:ascii="Calibri" w:hAnsi="Calibri" w:cs="Calibri"/>
          <w:color w:val="242424"/>
          <w:sz w:val="22"/>
          <w:szCs w:val="22"/>
        </w:rPr>
        <w:t>autorización</w:t>
      </w:r>
      <w:r w:rsidRPr="00717BFB">
        <w:rPr>
          <w:rFonts w:ascii="Calibri" w:hAnsi="Calibri" w:cs="Calibri"/>
          <w:color w:val="242424"/>
          <w:sz w:val="22"/>
          <w:szCs w:val="22"/>
        </w:rPr>
        <w:t xml:space="preserve"> de la </w:t>
      </w:r>
      <w:r w:rsidRPr="00717BFB">
        <w:rPr>
          <w:rFonts w:ascii="Calibri" w:hAnsi="Calibri" w:cs="Calibri"/>
          <w:color w:val="242424"/>
          <w:sz w:val="22"/>
          <w:szCs w:val="22"/>
        </w:rPr>
        <w:t>dirección</w:t>
      </w:r>
      <w:r w:rsidRPr="00717BFB">
        <w:rPr>
          <w:rFonts w:ascii="Calibri" w:hAnsi="Calibri" w:cs="Calibri"/>
          <w:color w:val="242424"/>
          <w:sz w:val="22"/>
          <w:szCs w:val="22"/>
        </w:rPr>
        <w:t xml:space="preserve"> de </w:t>
      </w:r>
      <w:r w:rsidRPr="00717BFB">
        <w:rPr>
          <w:rFonts w:ascii="Calibri" w:hAnsi="Calibri" w:cs="Calibri"/>
          <w:color w:val="242424"/>
          <w:sz w:val="22"/>
          <w:szCs w:val="22"/>
        </w:rPr>
        <w:t>formación</w:t>
      </w:r>
      <w:r w:rsidRPr="00717BFB">
        <w:rPr>
          <w:rFonts w:ascii="Calibri" w:hAnsi="Calibri" w:cs="Calibri"/>
          <w:color w:val="242424"/>
          <w:sz w:val="22"/>
          <w:szCs w:val="22"/>
        </w:rPr>
        <w:t xml:space="preserve"> regional y nacional.</w:t>
      </w:r>
    </w:p>
    <w:p w14:paraId="05733EC1" w14:textId="30F1A0E5" w:rsidR="00717BFB" w:rsidRDefault="00904261" w:rsidP="00857C5F">
      <w:pPr>
        <w:pStyle w:val="NormalWeb"/>
        <w:shd w:val="clear" w:color="auto" w:fill="FFFFFF"/>
        <w:spacing w:before="0" w:beforeAutospacing="0" w:after="80" w:afterAutospacing="0"/>
        <w:rPr>
          <w:rFonts w:ascii="Calibri" w:hAnsi="Calibri" w:cs="Calibri"/>
          <w:color w:val="242424"/>
          <w:sz w:val="22"/>
          <w:szCs w:val="22"/>
        </w:rPr>
      </w:pPr>
      <w:r w:rsidRPr="00904261">
        <w:drawing>
          <wp:inline distT="0" distB="0" distL="0" distR="0" wp14:anchorId="062F8359" wp14:editId="57D5E13E">
            <wp:extent cx="5572125" cy="1632296"/>
            <wp:effectExtent l="0" t="0" r="0" b="6350"/>
            <wp:docPr id="12827572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573306" cy="1632642"/>
                    </a:xfrm>
                    <a:prstGeom prst="rect">
                      <a:avLst/>
                    </a:prstGeom>
                    <a:noFill/>
                    <a:ln>
                      <a:noFill/>
                    </a:ln>
                  </pic:spPr>
                </pic:pic>
              </a:graphicData>
            </a:graphic>
          </wp:inline>
        </w:drawing>
      </w:r>
    </w:p>
    <w:p w14:paraId="17963341" w14:textId="77777777" w:rsidR="00A917FD" w:rsidRDefault="00857C5F" w:rsidP="00857C5F">
      <w:pPr>
        <w:pStyle w:val="NormalWeb"/>
        <w:shd w:val="clear" w:color="auto" w:fill="FFFFFF"/>
        <w:spacing w:before="0" w:beforeAutospacing="0" w:after="80" w:afterAutospacing="0"/>
        <w:rPr>
          <w:rFonts w:ascii="Calibri" w:hAnsi="Calibri" w:cs="Calibri"/>
          <w:color w:val="242424"/>
          <w:sz w:val="22"/>
          <w:szCs w:val="22"/>
        </w:rPr>
      </w:pPr>
      <w:r>
        <w:rPr>
          <w:rFonts w:ascii="Calibri" w:hAnsi="Calibri" w:cs="Calibri"/>
          <w:color w:val="242424"/>
          <w:sz w:val="22"/>
          <w:szCs w:val="22"/>
        </w:rPr>
        <w:t>Por lo anteriormente expuesto, resulta prioritario gestionar los recursos necesarios para la contratación de instructores que permitan garantizar el cumplimiento de las metas institucionales, la atención efectiva de la demanda regional y la continuidad de los procesos de formación con los niveles de calidad y cobertura requeridos.</w:t>
      </w:r>
    </w:p>
    <w:p w14:paraId="3F2A5E27" w14:textId="77777777" w:rsidR="00A917FD" w:rsidRDefault="00A917FD" w:rsidP="00857C5F">
      <w:pPr>
        <w:pStyle w:val="NormalWeb"/>
        <w:shd w:val="clear" w:color="auto" w:fill="FFFFFF"/>
        <w:spacing w:before="0" w:beforeAutospacing="0" w:after="80" w:afterAutospacing="0"/>
        <w:rPr>
          <w:rFonts w:ascii="Calibri" w:hAnsi="Calibri" w:cs="Calibri"/>
          <w:color w:val="242424"/>
          <w:sz w:val="22"/>
          <w:szCs w:val="22"/>
        </w:rPr>
      </w:pPr>
    </w:p>
    <w:p w14:paraId="3B2E75BA" w14:textId="56CBAF13" w:rsidR="000647D9" w:rsidRDefault="000647D9" w:rsidP="00857C5F">
      <w:pPr>
        <w:pStyle w:val="NormalWeb"/>
        <w:shd w:val="clear" w:color="auto" w:fill="FFFFFF"/>
        <w:spacing w:before="0" w:beforeAutospacing="0" w:after="80" w:afterAutospacing="0"/>
        <w:rPr>
          <w:rFonts w:ascii="Calibri" w:hAnsi="Calibri" w:cs="Calibri"/>
          <w:color w:val="242424"/>
          <w:sz w:val="22"/>
          <w:szCs w:val="22"/>
        </w:rPr>
      </w:pPr>
      <w:r>
        <w:rPr>
          <w:rFonts w:ascii="Calibri" w:hAnsi="Calibri" w:cs="Calibri"/>
          <w:color w:val="242424"/>
          <w:sz w:val="22"/>
          <w:szCs w:val="22"/>
        </w:rPr>
        <w:t xml:space="preserve">Cordialmente, </w:t>
      </w:r>
    </w:p>
    <w:p w14:paraId="5A0E124C" w14:textId="0372D06D" w:rsidR="00857C5F" w:rsidRDefault="00857C5F" w:rsidP="00857C5F">
      <w:pPr>
        <w:pStyle w:val="NormalWeb"/>
        <w:shd w:val="clear" w:color="auto" w:fill="FFFFFF"/>
        <w:spacing w:before="0" w:beforeAutospacing="0" w:after="80" w:afterAutospacing="0"/>
        <w:rPr>
          <w:rFonts w:ascii="Calibri" w:hAnsi="Calibri" w:cs="Calibri"/>
          <w:color w:val="242424"/>
          <w:sz w:val="22"/>
          <w:szCs w:val="22"/>
        </w:rPr>
      </w:pPr>
      <w:r>
        <w:rPr>
          <w:rFonts w:ascii="Calibri" w:hAnsi="Calibri" w:cs="Calibri"/>
          <w:color w:val="242424"/>
          <w:sz w:val="22"/>
          <w:szCs w:val="22"/>
        </w:rPr>
        <w:br/>
      </w:r>
    </w:p>
    <w:p w14:paraId="68E0DD07" w14:textId="77777777" w:rsidR="00857C5F" w:rsidRDefault="00857C5F" w:rsidP="00857C5F">
      <w:pPr>
        <w:pStyle w:val="NormalWeb"/>
        <w:shd w:val="clear" w:color="auto" w:fill="FFFFFF"/>
        <w:spacing w:before="0" w:beforeAutospacing="0" w:after="80" w:afterAutospacing="0"/>
        <w:rPr>
          <w:rFonts w:ascii="Calibri" w:hAnsi="Calibri" w:cs="Calibri"/>
          <w:color w:val="242424"/>
          <w:sz w:val="22"/>
          <w:szCs w:val="22"/>
        </w:rPr>
      </w:pPr>
      <w:r>
        <w:rPr>
          <w:rFonts w:ascii="Calibri" w:hAnsi="Calibri" w:cs="Calibri"/>
          <w:color w:val="242424"/>
          <w:sz w:val="22"/>
          <w:szCs w:val="22"/>
        </w:rPr>
        <w:t> </w:t>
      </w:r>
    </w:p>
    <w:p w14:paraId="67A848AF" w14:textId="77777777" w:rsidR="00857C5F" w:rsidRDefault="00857C5F"/>
    <w:sectPr w:rsidR="00857C5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5F"/>
    <w:rsid w:val="000647D9"/>
    <w:rsid w:val="001C289C"/>
    <w:rsid w:val="003972CE"/>
    <w:rsid w:val="00430936"/>
    <w:rsid w:val="005A6720"/>
    <w:rsid w:val="005B6385"/>
    <w:rsid w:val="00717BFB"/>
    <w:rsid w:val="007433B2"/>
    <w:rsid w:val="0081528D"/>
    <w:rsid w:val="00857C5F"/>
    <w:rsid w:val="00904261"/>
    <w:rsid w:val="00A917FD"/>
    <w:rsid w:val="00B575A7"/>
    <w:rsid w:val="00B9246A"/>
    <w:rsid w:val="00B93B09"/>
    <w:rsid w:val="00BD7AFE"/>
    <w:rsid w:val="00D42C9C"/>
    <w:rsid w:val="00DF05D5"/>
    <w:rsid w:val="00EC394C"/>
    <w:rsid w:val="00ED56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2D916"/>
  <w15:chartTrackingRefBased/>
  <w15:docId w15:val="{CEC3B059-6D71-4AF9-A83B-781175EB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7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7C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7C5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7C5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7C5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7C5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7C5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7C5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7C5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7C5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7C5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7C5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7C5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7C5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7C5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7C5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7C5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7C5F"/>
    <w:rPr>
      <w:rFonts w:eastAsiaTheme="majorEastAsia" w:cstheme="majorBidi"/>
      <w:color w:val="272727" w:themeColor="text1" w:themeTint="D8"/>
    </w:rPr>
  </w:style>
  <w:style w:type="paragraph" w:styleId="Ttulo">
    <w:name w:val="Title"/>
    <w:basedOn w:val="Normal"/>
    <w:next w:val="Normal"/>
    <w:link w:val="TtuloCar"/>
    <w:uiPriority w:val="10"/>
    <w:qFormat/>
    <w:rsid w:val="00857C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7C5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7C5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7C5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7C5F"/>
    <w:pPr>
      <w:spacing w:before="160"/>
      <w:jc w:val="center"/>
    </w:pPr>
    <w:rPr>
      <w:i/>
      <w:iCs/>
      <w:color w:val="404040" w:themeColor="text1" w:themeTint="BF"/>
    </w:rPr>
  </w:style>
  <w:style w:type="character" w:customStyle="1" w:styleId="CitaCar">
    <w:name w:val="Cita Car"/>
    <w:basedOn w:val="Fuentedeprrafopredeter"/>
    <w:link w:val="Cita"/>
    <w:uiPriority w:val="29"/>
    <w:rsid w:val="00857C5F"/>
    <w:rPr>
      <w:i/>
      <w:iCs/>
      <w:color w:val="404040" w:themeColor="text1" w:themeTint="BF"/>
    </w:rPr>
  </w:style>
  <w:style w:type="paragraph" w:styleId="Prrafodelista">
    <w:name w:val="List Paragraph"/>
    <w:basedOn w:val="Normal"/>
    <w:uiPriority w:val="34"/>
    <w:qFormat/>
    <w:rsid w:val="00857C5F"/>
    <w:pPr>
      <w:ind w:left="720"/>
      <w:contextualSpacing/>
    </w:pPr>
  </w:style>
  <w:style w:type="character" w:styleId="nfasisintenso">
    <w:name w:val="Intense Emphasis"/>
    <w:basedOn w:val="Fuentedeprrafopredeter"/>
    <w:uiPriority w:val="21"/>
    <w:qFormat/>
    <w:rsid w:val="00857C5F"/>
    <w:rPr>
      <w:i/>
      <w:iCs/>
      <w:color w:val="0F4761" w:themeColor="accent1" w:themeShade="BF"/>
    </w:rPr>
  </w:style>
  <w:style w:type="paragraph" w:styleId="Citadestacada">
    <w:name w:val="Intense Quote"/>
    <w:basedOn w:val="Normal"/>
    <w:next w:val="Normal"/>
    <w:link w:val="CitadestacadaCar"/>
    <w:uiPriority w:val="30"/>
    <w:qFormat/>
    <w:rsid w:val="00857C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7C5F"/>
    <w:rPr>
      <w:i/>
      <w:iCs/>
      <w:color w:val="0F4761" w:themeColor="accent1" w:themeShade="BF"/>
    </w:rPr>
  </w:style>
  <w:style w:type="character" w:styleId="Referenciaintensa">
    <w:name w:val="Intense Reference"/>
    <w:basedOn w:val="Fuentedeprrafopredeter"/>
    <w:uiPriority w:val="32"/>
    <w:qFormat/>
    <w:rsid w:val="00857C5F"/>
    <w:rPr>
      <w:b/>
      <w:bCs/>
      <w:smallCaps/>
      <w:color w:val="0F4761" w:themeColor="accent1" w:themeShade="BF"/>
      <w:spacing w:val="5"/>
    </w:rPr>
  </w:style>
  <w:style w:type="paragraph" w:styleId="NormalWeb">
    <w:name w:val="Normal (Web)"/>
    <w:basedOn w:val="Normal"/>
    <w:uiPriority w:val="99"/>
    <w:semiHidden/>
    <w:unhideWhenUsed/>
    <w:rsid w:val="00857C5F"/>
    <w:pPr>
      <w:spacing w:before="100" w:beforeAutospacing="1" w:after="100" w:afterAutospacing="1" w:line="240" w:lineRule="auto"/>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8493334">
      <w:bodyDiv w:val="1"/>
      <w:marLeft w:val="0"/>
      <w:marRight w:val="0"/>
      <w:marTop w:val="0"/>
      <w:marBottom w:val="0"/>
      <w:divBdr>
        <w:top w:val="none" w:sz="0" w:space="0" w:color="auto"/>
        <w:left w:val="none" w:sz="0" w:space="0" w:color="auto"/>
        <w:bottom w:val="none" w:sz="0" w:space="0" w:color="auto"/>
        <w:right w:val="none" w:sz="0" w:space="0" w:color="auto"/>
      </w:divBdr>
    </w:div>
    <w:div w:id="214299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728</Words>
  <Characters>4007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Rito Alfonso Salazar Moya</dc:creator>
  <cp:keywords/>
  <dc:description/>
  <cp:lastModifiedBy>Rito Alfonso Salazar Moya</cp:lastModifiedBy>
  <cp:revision>22</cp:revision>
  <dcterms:created xsi:type="dcterms:W3CDTF">2026-06-17T19:28:00Z</dcterms:created>
  <dcterms:modified xsi:type="dcterms:W3CDTF">2026-06-17T22:01:00Z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2026-06-17T20:52:39Z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caf2b8cd-e0f6-48da-bc02-0971c4007584</vt:lpwstr>
  </property>
  <property fmtid="{D5CDD505-2E9C-101B-9397-08002B2CF9AE}" pid="8" name="MSIP_Label_fc111285-cafa-4fc9-8a9a-bd902089b24f_ContentBits">
    <vt:lpwstr>0</vt:lpwstr>
  </property>
</Properties>
</file>